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1B5E" w14:textId="08536D3B" w:rsidR="009D7E81" w:rsidRDefault="00FE34EF" w:rsidP="001C5E32">
      <w:pPr>
        <w:spacing w:after="0"/>
        <w:jc w:val="center"/>
        <w:rPr>
          <w:rFonts w:ascii="Outfit" w:hAnsi="Outfit"/>
          <w:b/>
          <w:bCs/>
          <w:sz w:val="28"/>
          <w:szCs w:val="28"/>
          <w:lang w:val="es-MX"/>
        </w:rPr>
      </w:pPr>
      <w:r w:rsidRPr="00FE34EF">
        <w:rPr>
          <w:rFonts w:ascii="Outfit" w:hAnsi="Outfit"/>
          <w:b/>
          <w:bCs/>
          <w:sz w:val="28"/>
          <w:szCs w:val="28"/>
          <w:lang w:val="es-MX"/>
        </w:rPr>
        <w:t>PREGUNTAS Y REPUESTAS FRECUENTES NÓMINA</w:t>
      </w:r>
    </w:p>
    <w:p w14:paraId="039229E8" w14:textId="77777777" w:rsidR="001C5E32" w:rsidRDefault="001C5E32" w:rsidP="001C5E32">
      <w:pPr>
        <w:spacing w:after="0"/>
        <w:jc w:val="center"/>
        <w:rPr>
          <w:rFonts w:ascii="Outfit" w:hAnsi="Outfit"/>
          <w:b/>
          <w:bCs/>
          <w:sz w:val="28"/>
          <w:szCs w:val="28"/>
          <w:lang w:val="es-MX"/>
        </w:rPr>
      </w:pPr>
    </w:p>
    <w:p w14:paraId="09E546BE" w14:textId="3BD79D92" w:rsidR="00FE34EF" w:rsidRPr="00FE34EF" w:rsidRDefault="00FE34EF" w:rsidP="001C5E32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59C4CCDE" w14:textId="7190C9A3" w:rsidR="00FE34EF" w:rsidRPr="00FE34EF" w:rsidRDefault="00FE34EF" w:rsidP="00330C1B">
      <w:pPr>
        <w:pStyle w:val="Prrafodelista"/>
        <w:numPr>
          <w:ilvl w:val="0"/>
          <w:numId w:val="1"/>
        </w:numPr>
        <w:jc w:val="both"/>
        <w:rPr>
          <w:rFonts w:ascii="Outfit" w:hAnsi="Outfit"/>
          <w:b/>
          <w:bCs/>
          <w:lang w:val="es-MX"/>
        </w:rPr>
      </w:pPr>
      <w:r w:rsidRPr="00FE34EF">
        <w:rPr>
          <w:rFonts w:ascii="Outfit" w:hAnsi="Outfit"/>
          <w:b/>
          <w:bCs/>
          <w:lang w:val="es-MX"/>
        </w:rPr>
        <w:t>¿</w:t>
      </w:r>
      <w:r w:rsidRPr="00FE34EF">
        <w:rPr>
          <w:rFonts w:ascii="Outfit" w:hAnsi="Outfit"/>
          <w:b/>
          <w:bCs/>
        </w:rPr>
        <w:t>Como solicitar retiro de cesantías</w:t>
      </w:r>
      <w:r w:rsidRPr="00FE34EF">
        <w:rPr>
          <w:rFonts w:ascii="Outfit" w:hAnsi="Outfit"/>
          <w:b/>
          <w:bCs/>
          <w:lang w:val="es-MX"/>
        </w:rPr>
        <w:t xml:space="preserve"> parciales de los funcionarios acogidos a la Ley 50 de 1990 y retroactivos?</w:t>
      </w:r>
    </w:p>
    <w:p w14:paraId="5A946634" w14:textId="790A4A4E" w:rsidR="00FE34EF" w:rsidRPr="00FE34EF" w:rsidRDefault="00FE34EF" w:rsidP="00330C1B">
      <w:pPr>
        <w:jc w:val="both"/>
        <w:rPr>
          <w:rFonts w:ascii="Outfit" w:hAnsi="Outfit"/>
          <w:lang w:val="es-MX"/>
        </w:rPr>
      </w:pPr>
      <w:r w:rsidRPr="00FE34EF">
        <w:rPr>
          <w:rFonts w:ascii="Outfit" w:hAnsi="Outfit"/>
          <w:lang w:val="es-MX"/>
        </w:rPr>
        <w:t>Las cesantías son una prestación a cargo del empleador, cuya finalidad es constituir un ahorro a favor del trabajador, del que pueda disponer cuando quede desempleado. El retiro de cesantías para funcionarios públicos en Colombia está regulado por la Ley 1071 de 2006, específicamente el articulo 3 de la mencionada norma refiere los casos taxativos en los que los funcionarios pueden retirar las cesantía</w:t>
      </w:r>
      <w:r w:rsidR="001703A6">
        <w:rPr>
          <w:rFonts w:ascii="Outfit" w:hAnsi="Outfit"/>
          <w:lang w:val="es-MX"/>
        </w:rPr>
        <w:t>s, a saber</w:t>
      </w:r>
      <w:r w:rsidRPr="00FE34EF">
        <w:rPr>
          <w:rFonts w:ascii="Outfit" w:hAnsi="Outfit"/>
          <w:lang w:val="es-MX"/>
        </w:rPr>
        <w:t xml:space="preserve">: </w:t>
      </w:r>
    </w:p>
    <w:p w14:paraId="4D6201CC" w14:textId="77777777" w:rsidR="00FE34EF" w:rsidRPr="00FE34EF" w:rsidRDefault="00FE34EF" w:rsidP="00330C1B">
      <w:pPr>
        <w:pStyle w:val="NormalWeb"/>
        <w:shd w:val="clear" w:color="auto" w:fill="FFFFFF"/>
        <w:jc w:val="both"/>
        <w:rPr>
          <w:rFonts w:ascii="Outfit" w:hAnsi="Outfit" w:cs="Arial"/>
          <w:color w:val="333333"/>
          <w:sz w:val="22"/>
          <w:szCs w:val="22"/>
        </w:rPr>
      </w:pPr>
      <w:r w:rsidRPr="00FE34EF">
        <w:rPr>
          <w:rFonts w:ascii="Outfit" w:hAnsi="Outfit" w:cs="Arial"/>
          <w:color w:val="333333"/>
          <w:sz w:val="22"/>
          <w:szCs w:val="22"/>
        </w:rPr>
        <w:t>1. Para la compra y adquisición de vivienda, construcción, reparación y ampliación de la misma y liberación de gravámenes del inmueble, contraídos por el empleado o su cónyuge o compañero(a) permanente.</w:t>
      </w:r>
    </w:p>
    <w:p w14:paraId="43EBD6E3" w14:textId="77777777" w:rsidR="00FE34EF" w:rsidRPr="00FE34EF" w:rsidRDefault="00FE34EF" w:rsidP="00330C1B">
      <w:pPr>
        <w:pStyle w:val="NormalWeb"/>
        <w:shd w:val="clear" w:color="auto" w:fill="FFFFFF"/>
        <w:jc w:val="both"/>
        <w:rPr>
          <w:rFonts w:ascii="Outfit" w:hAnsi="Outfit" w:cs="Arial"/>
          <w:color w:val="333333"/>
          <w:sz w:val="22"/>
          <w:szCs w:val="22"/>
        </w:rPr>
      </w:pPr>
      <w:r w:rsidRPr="00FE34EF">
        <w:rPr>
          <w:rFonts w:ascii="Outfit" w:hAnsi="Outfit" w:cs="Arial"/>
          <w:color w:val="333333"/>
          <w:sz w:val="22"/>
          <w:szCs w:val="22"/>
        </w:rPr>
        <w:t>2. Para adelantar estudios ya sea del empleado, su cónyuge o compañero(a) permanente, o sus hijos.</w:t>
      </w:r>
    </w:p>
    <w:p w14:paraId="1F05E9DA" w14:textId="195E68F9" w:rsidR="00FE34EF" w:rsidRDefault="00705DAD" w:rsidP="00554255">
      <w:pPr>
        <w:spacing w:after="0"/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 xml:space="preserve">Se adjunta </w:t>
      </w:r>
      <w:r w:rsidRPr="00705DAD">
        <w:rPr>
          <w:rFonts w:ascii="Outfit" w:hAnsi="Outfit"/>
          <w:b/>
          <w:bCs/>
          <w:lang w:val="es-MX"/>
        </w:rPr>
        <w:t xml:space="preserve">Procedimiento </w:t>
      </w:r>
      <w:r w:rsidRPr="00705DAD">
        <w:rPr>
          <w:rFonts w:ascii="Outfit" w:hAnsi="Outfit"/>
          <w:b/>
          <w:bCs/>
          <w:lang w:val="es-MX"/>
        </w:rPr>
        <w:t>12-PR-11</w:t>
      </w:r>
      <w:r>
        <w:rPr>
          <w:rFonts w:ascii="Outfit" w:hAnsi="Outfit"/>
          <w:lang w:val="es-MX"/>
        </w:rPr>
        <w:t xml:space="preserve"> en donde encontrará el paso a paso para realizar la solicitud, así como los tiempos definidos para la realización del trámite. </w:t>
      </w:r>
    </w:p>
    <w:p w14:paraId="55EDDB11" w14:textId="77777777" w:rsidR="001C5E32" w:rsidRDefault="001C5E32" w:rsidP="00554255">
      <w:pPr>
        <w:spacing w:after="0"/>
        <w:jc w:val="both"/>
        <w:rPr>
          <w:rFonts w:ascii="Outfit" w:hAnsi="Outfit"/>
          <w:lang w:val="es-MX"/>
        </w:rPr>
      </w:pPr>
    </w:p>
    <w:p w14:paraId="5DA01A0E" w14:textId="77777777" w:rsidR="00330C1B" w:rsidRDefault="00330C1B" w:rsidP="00554255">
      <w:pPr>
        <w:spacing w:after="0"/>
        <w:jc w:val="both"/>
        <w:rPr>
          <w:rFonts w:ascii="Outfit" w:hAnsi="Outfit"/>
          <w:lang w:val="es-MX"/>
        </w:rPr>
      </w:pPr>
    </w:p>
    <w:p w14:paraId="2F0332AB" w14:textId="11F2974A" w:rsidR="00705DAD" w:rsidRPr="00330C1B" w:rsidRDefault="00705DAD" w:rsidP="00330C1B">
      <w:pPr>
        <w:pStyle w:val="Prrafodelista"/>
        <w:numPr>
          <w:ilvl w:val="0"/>
          <w:numId w:val="1"/>
        </w:numPr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¿Cómo solicitar una libranza?</w:t>
      </w:r>
    </w:p>
    <w:p w14:paraId="1AFD1BDF" w14:textId="22AA5D5B" w:rsidR="00705DAD" w:rsidRDefault="00705DAD" w:rsidP="00330C1B">
      <w:pPr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>U</w:t>
      </w:r>
      <w:r w:rsidRPr="00705DAD">
        <w:rPr>
          <w:rFonts w:ascii="Outfit" w:hAnsi="Outfit"/>
          <w:lang w:val="es-MX"/>
        </w:rPr>
        <w:t>na libranza es un mecanismo de pago que permite a empleados y pensionados autorizar a su empleador o entidad pagadora a descontar directamente de su salario o pensión las cuotas de un crédito o deuda. Este descuento se realiza de forma automática y periódica, antes de que el dinero llegue al trabajador o pensionado, y se transfiere directamente a la entidad financiera o prestamista.</w:t>
      </w:r>
    </w:p>
    <w:p w14:paraId="4033E511" w14:textId="6A6CD41F" w:rsidR="00554255" w:rsidRDefault="00554255" w:rsidP="00554255">
      <w:pPr>
        <w:spacing w:after="0"/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 xml:space="preserve">El Municipio tiene suscritos diferentes convenios suscritos con entidades financieras que pueden ser solicitados solamente por el personal de planta, para ello cada funcionario que </w:t>
      </w:r>
      <w:r>
        <w:rPr>
          <w:rFonts w:ascii="Outfit" w:hAnsi="Outfit"/>
          <w:lang w:val="es-MX"/>
        </w:rPr>
        <w:t>esté</w:t>
      </w:r>
      <w:r>
        <w:rPr>
          <w:rFonts w:ascii="Outfit" w:hAnsi="Outfit"/>
          <w:lang w:val="es-MX"/>
        </w:rPr>
        <w:t xml:space="preserve"> interesado debe acercarse a la entidad seleccionada e iniciar el trámite, el área de nómina realiza la verificación de capacidad de endeudamiento y la remite a la entidad financiera quienes informarán si la libranza fue aprobada,</w:t>
      </w:r>
      <w:r w:rsidR="00AC78EA">
        <w:rPr>
          <w:rFonts w:ascii="Outfit" w:hAnsi="Outfit"/>
          <w:lang w:val="es-MX"/>
        </w:rPr>
        <w:t xml:space="preserve"> </w:t>
      </w:r>
      <w:r>
        <w:rPr>
          <w:rFonts w:ascii="Outfit" w:hAnsi="Outfit"/>
          <w:lang w:val="es-MX"/>
        </w:rPr>
        <w:t>así como la fecha de inicio de descuento en nómina</w:t>
      </w:r>
      <w:r w:rsidR="00AC78EA">
        <w:rPr>
          <w:rFonts w:ascii="Outfit" w:hAnsi="Outfit"/>
          <w:lang w:val="es-MX"/>
        </w:rPr>
        <w:t xml:space="preserve"> </w:t>
      </w:r>
      <w:r w:rsidR="00AC78EA">
        <w:rPr>
          <w:rFonts w:ascii="Outfit" w:hAnsi="Outfit"/>
          <w:lang w:val="es-MX"/>
        </w:rPr>
        <w:t>para su respectiva activación</w:t>
      </w:r>
      <w:r>
        <w:rPr>
          <w:rFonts w:ascii="Outfit" w:hAnsi="Outfit"/>
          <w:lang w:val="es-MX"/>
        </w:rPr>
        <w:t xml:space="preserve">.  </w:t>
      </w:r>
    </w:p>
    <w:p w14:paraId="4A6E7F16" w14:textId="77777777" w:rsidR="00554255" w:rsidRDefault="00554255" w:rsidP="00554255">
      <w:pPr>
        <w:spacing w:after="0"/>
        <w:jc w:val="both"/>
        <w:rPr>
          <w:rFonts w:ascii="Outfit" w:hAnsi="Outfit"/>
          <w:lang w:val="es-MX"/>
        </w:rPr>
      </w:pPr>
    </w:p>
    <w:p w14:paraId="414C7520" w14:textId="20FA0760" w:rsidR="00554255" w:rsidRDefault="00554255" w:rsidP="00554255">
      <w:pPr>
        <w:spacing w:after="0"/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 xml:space="preserve">Para conocer las entidades con las que se tiene convenio el funcionario puede acercarse a la oficina de Gestión Humana o en las ferias de servicio directamente con cada entidad financiera. </w:t>
      </w:r>
    </w:p>
    <w:p w14:paraId="32F9AC71" w14:textId="2F59383A" w:rsidR="001C5E32" w:rsidRDefault="001C5E32" w:rsidP="00554255">
      <w:pPr>
        <w:spacing w:after="0"/>
        <w:jc w:val="both"/>
        <w:rPr>
          <w:rFonts w:ascii="Outfit" w:hAnsi="Outfit"/>
          <w:lang w:val="es-MX"/>
        </w:rPr>
      </w:pPr>
    </w:p>
    <w:p w14:paraId="0CCEE65C" w14:textId="77777777" w:rsidR="001C5E32" w:rsidRDefault="001C5E32" w:rsidP="00554255">
      <w:pPr>
        <w:spacing w:after="0"/>
        <w:jc w:val="both"/>
        <w:rPr>
          <w:rFonts w:ascii="Outfit" w:hAnsi="Outfit"/>
          <w:lang w:val="es-MX"/>
        </w:rPr>
      </w:pPr>
    </w:p>
    <w:p w14:paraId="7CCC364F" w14:textId="164ACAA6" w:rsidR="00554255" w:rsidRDefault="00554255" w:rsidP="00330C1B">
      <w:pPr>
        <w:jc w:val="both"/>
        <w:rPr>
          <w:rFonts w:ascii="Outfit" w:hAnsi="Outfit"/>
          <w:lang w:val="es-MX"/>
        </w:rPr>
      </w:pPr>
    </w:p>
    <w:p w14:paraId="1D09C4D4" w14:textId="01F72A73" w:rsidR="00554255" w:rsidRDefault="00554255" w:rsidP="00330C1B">
      <w:pPr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b/>
          <w:bCs/>
          <w:lang w:val="es-MX"/>
        </w:rPr>
        <w:lastRenderedPageBreak/>
        <w:t>Detalle</w:t>
      </w:r>
      <w:r>
        <w:rPr>
          <w:rFonts w:ascii="Outfit" w:hAnsi="Outfit"/>
          <w:b/>
          <w:bCs/>
          <w:lang w:val="es-MX"/>
        </w:rPr>
        <w:t xml:space="preserve"> de las Libranzas</w:t>
      </w:r>
    </w:p>
    <w:p w14:paraId="7DA87720" w14:textId="77777777" w:rsidR="00705DAD" w:rsidRPr="00330C1B" w:rsidRDefault="00705DAD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Autorización:</w:t>
      </w:r>
    </w:p>
    <w:p w14:paraId="42EF09C0" w14:textId="6F06DE19" w:rsidR="00705DAD" w:rsidRPr="00705DAD" w:rsidRDefault="00705DAD" w:rsidP="001703A6">
      <w:pPr>
        <w:spacing w:after="0"/>
        <w:jc w:val="both"/>
        <w:rPr>
          <w:rFonts w:ascii="Outfit" w:hAnsi="Outfit"/>
          <w:lang w:val="es-MX"/>
        </w:rPr>
      </w:pPr>
      <w:r w:rsidRPr="00705DAD">
        <w:rPr>
          <w:rFonts w:ascii="Outfit" w:hAnsi="Outfit"/>
          <w:lang w:val="es-MX"/>
        </w:rPr>
        <w:t xml:space="preserve">El </w:t>
      </w:r>
      <w:r w:rsidR="00330C1B">
        <w:rPr>
          <w:rFonts w:ascii="Outfit" w:hAnsi="Outfit"/>
          <w:lang w:val="es-MX"/>
        </w:rPr>
        <w:t xml:space="preserve">funcionario(a) </w:t>
      </w:r>
      <w:r w:rsidRPr="00705DAD">
        <w:rPr>
          <w:rFonts w:ascii="Outfit" w:hAnsi="Outfit"/>
          <w:lang w:val="es-MX"/>
        </w:rPr>
        <w:t>firma un acuerdo o contrato con la entidad financiera, autorizando el descuento directo de su nómina para el pago del crédito.</w:t>
      </w:r>
      <w:r w:rsidR="00330C1B">
        <w:rPr>
          <w:rFonts w:ascii="Outfit" w:hAnsi="Outfit"/>
          <w:lang w:val="es-MX"/>
        </w:rPr>
        <w:t xml:space="preserve"> (sujeto a capacidad de endeudamiento).</w:t>
      </w:r>
    </w:p>
    <w:p w14:paraId="6755DFCB" w14:textId="4B700A9A" w:rsidR="00705DAD" w:rsidRPr="00330C1B" w:rsidRDefault="00705DAD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Descuento:</w:t>
      </w:r>
    </w:p>
    <w:p w14:paraId="64774ECD" w14:textId="77777777" w:rsidR="00705DAD" w:rsidRPr="00705DAD" w:rsidRDefault="00705DAD" w:rsidP="001703A6">
      <w:pPr>
        <w:spacing w:after="0"/>
        <w:jc w:val="both"/>
        <w:rPr>
          <w:rFonts w:ascii="Outfit" w:hAnsi="Outfit"/>
          <w:lang w:val="es-MX"/>
        </w:rPr>
      </w:pPr>
      <w:r w:rsidRPr="00705DAD">
        <w:rPr>
          <w:rFonts w:ascii="Outfit" w:hAnsi="Outfit"/>
          <w:lang w:val="es-MX"/>
        </w:rPr>
        <w:t>El empleador o entidad pagadora realiza el descuento de la cuota acordada mensualmente, antes de pagar el salario o pensión al beneficiario.</w:t>
      </w:r>
    </w:p>
    <w:p w14:paraId="5017096E" w14:textId="75835C5D" w:rsidR="00705DAD" w:rsidRPr="00330C1B" w:rsidRDefault="00705DAD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Transferencia:</w:t>
      </w:r>
    </w:p>
    <w:p w14:paraId="05D49E0C" w14:textId="1ED19D93" w:rsidR="00705DAD" w:rsidRDefault="00705DAD" w:rsidP="001703A6">
      <w:pPr>
        <w:spacing w:after="0"/>
        <w:jc w:val="both"/>
        <w:rPr>
          <w:rFonts w:ascii="Outfit" w:hAnsi="Outfit"/>
          <w:lang w:val="es-MX"/>
        </w:rPr>
      </w:pPr>
      <w:r w:rsidRPr="00705DAD">
        <w:rPr>
          <w:rFonts w:ascii="Outfit" w:hAnsi="Outfit"/>
          <w:lang w:val="es-MX"/>
        </w:rPr>
        <w:t>El dinero descontado se transfiere directamente a la entidad financiera o prestamista.</w:t>
      </w:r>
    </w:p>
    <w:p w14:paraId="47813AF4" w14:textId="7868105D" w:rsidR="00330C1B" w:rsidRDefault="00330C1B" w:rsidP="00554255">
      <w:pPr>
        <w:spacing w:after="0"/>
        <w:jc w:val="both"/>
        <w:rPr>
          <w:rFonts w:ascii="Outfit" w:hAnsi="Outfit"/>
          <w:lang w:val="es-MX"/>
        </w:rPr>
      </w:pPr>
    </w:p>
    <w:p w14:paraId="4B48C1C9" w14:textId="77777777" w:rsidR="001C5E32" w:rsidRDefault="001C5E32" w:rsidP="00554255">
      <w:pPr>
        <w:spacing w:after="0"/>
        <w:jc w:val="both"/>
        <w:rPr>
          <w:rFonts w:ascii="Outfit" w:hAnsi="Outfit"/>
          <w:lang w:val="es-MX"/>
        </w:rPr>
      </w:pPr>
    </w:p>
    <w:p w14:paraId="24ACC5A2" w14:textId="7E231D7B" w:rsidR="00330C1B" w:rsidRDefault="00330C1B" w:rsidP="00330C1B">
      <w:pPr>
        <w:pStyle w:val="Prrafodelista"/>
        <w:numPr>
          <w:ilvl w:val="0"/>
          <w:numId w:val="1"/>
        </w:numPr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¿Cómo solicitar vacaciones?</w:t>
      </w:r>
    </w:p>
    <w:p w14:paraId="555BE06D" w14:textId="450BB936" w:rsidR="00330C1B" w:rsidRDefault="00330C1B" w:rsidP="00330C1B">
      <w:pPr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lang w:val="es-MX"/>
        </w:rPr>
        <w:t xml:space="preserve">En el sector público colombiano, los </w:t>
      </w:r>
      <w:r>
        <w:rPr>
          <w:rFonts w:ascii="Outfit" w:hAnsi="Outfit"/>
          <w:lang w:val="es-MX"/>
        </w:rPr>
        <w:t>funcionarios</w:t>
      </w:r>
      <w:r w:rsidRPr="00330C1B">
        <w:rPr>
          <w:rFonts w:ascii="Outfit" w:hAnsi="Outfit"/>
          <w:lang w:val="es-MX"/>
        </w:rPr>
        <w:t xml:space="preserve"> tienen derecho a </w:t>
      </w:r>
      <w:r w:rsidRPr="00330C1B">
        <w:rPr>
          <w:rFonts w:ascii="Outfit" w:hAnsi="Outfit"/>
          <w:b/>
          <w:bCs/>
          <w:lang w:val="es-MX"/>
        </w:rPr>
        <w:t>15 días hábiles</w:t>
      </w:r>
      <w:r w:rsidRPr="00330C1B">
        <w:rPr>
          <w:rFonts w:ascii="Outfit" w:hAnsi="Outfit"/>
          <w:lang w:val="es-MX"/>
        </w:rPr>
        <w:t xml:space="preserve"> de vacaciones por cada año de servicio, además de una prima de vacaciones equivalente a 15 días de salario. Las vacaciones deben ser concertadas previamente</w:t>
      </w:r>
      <w:r>
        <w:rPr>
          <w:rFonts w:ascii="Outfit" w:hAnsi="Outfit"/>
          <w:lang w:val="es-MX"/>
        </w:rPr>
        <w:t xml:space="preserve"> con el jefe inmediato</w:t>
      </w:r>
      <w:r w:rsidRPr="00330C1B">
        <w:rPr>
          <w:rFonts w:ascii="Outfit" w:hAnsi="Outfit"/>
          <w:lang w:val="es-MX"/>
        </w:rPr>
        <w:t>, pero también pueden ser otorgadas de oficio por la administración pública. La finalidad de las vacaciones es permitir un descanso remunerado, y su compensación en dinero está prohibida, salvo casos excepcionales</w:t>
      </w:r>
      <w:r w:rsidRPr="00330C1B">
        <w:rPr>
          <w:rFonts w:ascii="Outfit" w:hAnsi="Outfit"/>
          <w:b/>
          <w:bCs/>
          <w:lang w:val="es-MX"/>
        </w:rPr>
        <w:t>.</w:t>
      </w:r>
    </w:p>
    <w:p w14:paraId="7B40FA23" w14:textId="54EA4FAE" w:rsidR="00554255" w:rsidRPr="00330C1B" w:rsidRDefault="00330C1B" w:rsidP="00330C1B">
      <w:pPr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lang w:val="es-MX"/>
        </w:rPr>
        <w:t>E</w:t>
      </w:r>
      <w:r>
        <w:rPr>
          <w:rFonts w:ascii="Outfit" w:hAnsi="Outfit"/>
          <w:lang w:val="es-MX"/>
        </w:rPr>
        <w:t xml:space="preserve">l funcionario radica la solicitud mediante un oficio dirigido a la Dirección de Gestión Humana, </w:t>
      </w:r>
      <w:r w:rsidR="00554255">
        <w:rPr>
          <w:rFonts w:ascii="Outfit" w:hAnsi="Outfit"/>
          <w:lang w:val="es-MX"/>
        </w:rPr>
        <w:t>a más tardar el día 14 del mes anterior al disfrute de las vacaciones; en el oficio debe</w:t>
      </w:r>
      <w:r w:rsidR="005969C1">
        <w:rPr>
          <w:rFonts w:ascii="Outfit" w:hAnsi="Outfit"/>
          <w:lang w:val="es-MX"/>
        </w:rPr>
        <w:t xml:space="preserve"> indica</w:t>
      </w:r>
      <w:r w:rsidR="00554255">
        <w:rPr>
          <w:rFonts w:ascii="Outfit" w:hAnsi="Outfit"/>
          <w:lang w:val="es-MX"/>
        </w:rPr>
        <w:t>r</w:t>
      </w:r>
      <w:r>
        <w:rPr>
          <w:rFonts w:ascii="Outfit" w:hAnsi="Outfit"/>
          <w:lang w:val="es-MX"/>
        </w:rPr>
        <w:t xml:space="preserve"> el periodo de causación de las </w:t>
      </w:r>
      <w:r w:rsidR="005969C1">
        <w:rPr>
          <w:rFonts w:ascii="Outfit" w:hAnsi="Outfit"/>
          <w:lang w:val="es-MX"/>
        </w:rPr>
        <w:t>vacaciones (</w:t>
      </w:r>
      <w:r>
        <w:rPr>
          <w:rFonts w:ascii="Outfit" w:hAnsi="Outfit"/>
          <w:lang w:val="es-MX"/>
        </w:rPr>
        <w:t>año de servicio que le concede el derecho) así como la fecha de inicio de disfrute de las vacaciones, la cual debe ser en el mes siguiente a la solicitud y un día hábil.</w:t>
      </w:r>
      <w:r w:rsidR="00554255">
        <w:rPr>
          <w:rFonts w:ascii="Outfit" w:hAnsi="Outfit"/>
          <w:lang w:val="es-MX"/>
        </w:rPr>
        <w:t xml:space="preserve"> El pago de las vacaciones se realiza con la nómina del mes en que se solicitan, una vez notificadas por el área de nómina. </w:t>
      </w:r>
    </w:p>
    <w:p w14:paraId="0989B455" w14:textId="77777777" w:rsidR="00554255" w:rsidRPr="00330C1B" w:rsidRDefault="00554255" w:rsidP="00554255">
      <w:pPr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>Detalles sobre las vacaciones en el sector público</w:t>
      </w:r>
    </w:p>
    <w:p w14:paraId="02D7DE79" w14:textId="77777777" w:rsidR="00554255" w:rsidRPr="00330C1B" w:rsidRDefault="00554255" w:rsidP="001703A6">
      <w:pPr>
        <w:spacing w:after="0"/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b/>
          <w:bCs/>
          <w:lang w:val="es-MX"/>
        </w:rPr>
        <w:t>Duración</w:t>
      </w:r>
      <w:r w:rsidRPr="00330C1B">
        <w:rPr>
          <w:rFonts w:ascii="Outfit" w:hAnsi="Outfit"/>
          <w:lang w:val="es-MX"/>
        </w:rPr>
        <w:t xml:space="preserve">: 15 días hábiles por cada año de servicio. </w:t>
      </w:r>
    </w:p>
    <w:p w14:paraId="2E7E8746" w14:textId="77777777" w:rsidR="00554255" w:rsidRPr="00330C1B" w:rsidRDefault="00554255" w:rsidP="001703A6">
      <w:pPr>
        <w:spacing w:after="0"/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Prima de vacaciones: </w:t>
      </w:r>
      <w:r w:rsidRPr="00330C1B">
        <w:rPr>
          <w:rFonts w:ascii="Outfit" w:hAnsi="Outfit"/>
          <w:lang w:val="es-MX"/>
        </w:rPr>
        <w:t xml:space="preserve">Equivale a 15 días de salario. </w:t>
      </w:r>
    </w:p>
    <w:p w14:paraId="47184E91" w14:textId="77777777" w:rsidR="00554255" w:rsidRPr="00330C1B" w:rsidRDefault="00554255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Concertación: </w:t>
      </w:r>
      <w:r w:rsidRPr="00330C1B">
        <w:rPr>
          <w:rFonts w:ascii="Outfit" w:hAnsi="Outfit"/>
          <w:lang w:val="es-MX"/>
        </w:rPr>
        <w:t>Generalmente se acuerdan con anticipación, pero pueden ser otorgadas por la administración.</w:t>
      </w:r>
      <w:r w:rsidRPr="00330C1B">
        <w:rPr>
          <w:rFonts w:ascii="Outfit" w:hAnsi="Outfit"/>
          <w:b/>
          <w:bCs/>
          <w:lang w:val="es-MX"/>
        </w:rPr>
        <w:t xml:space="preserve"> </w:t>
      </w:r>
    </w:p>
    <w:p w14:paraId="0A8ADBC2" w14:textId="77777777" w:rsidR="00554255" w:rsidRPr="00330C1B" w:rsidRDefault="00554255" w:rsidP="001703A6">
      <w:pPr>
        <w:spacing w:after="0"/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Propósito: </w:t>
      </w:r>
      <w:r w:rsidRPr="00330C1B">
        <w:rPr>
          <w:rFonts w:ascii="Outfit" w:hAnsi="Outfit"/>
          <w:lang w:val="es-MX"/>
        </w:rPr>
        <w:t xml:space="preserve">Descanso remunerado para reponer fuerzas y retomar labores. </w:t>
      </w:r>
    </w:p>
    <w:p w14:paraId="0C1D551B" w14:textId="77777777" w:rsidR="00554255" w:rsidRPr="00330C1B" w:rsidRDefault="00554255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Acumulación: </w:t>
      </w:r>
      <w:r w:rsidRPr="00330C1B">
        <w:rPr>
          <w:rFonts w:ascii="Outfit" w:hAnsi="Outfit"/>
          <w:lang w:val="es-MX"/>
        </w:rPr>
        <w:t xml:space="preserve">Se pueden acumular hasta por </w:t>
      </w:r>
      <w:r w:rsidRPr="00330C1B">
        <w:rPr>
          <w:rFonts w:ascii="Outfit" w:hAnsi="Outfit"/>
          <w:b/>
          <w:bCs/>
          <w:lang w:val="es-MX"/>
        </w:rPr>
        <w:t>dos años</w:t>
      </w:r>
      <w:r w:rsidRPr="00330C1B">
        <w:rPr>
          <w:rFonts w:ascii="Outfit" w:hAnsi="Outfit"/>
          <w:lang w:val="es-MX"/>
        </w:rPr>
        <w:t>, siempre que se aplacen por necesidades del servicio.</w:t>
      </w:r>
      <w:r w:rsidRPr="00330C1B">
        <w:rPr>
          <w:rFonts w:ascii="Outfit" w:hAnsi="Outfit"/>
          <w:b/>
          <w:bCs/>
          <w:lang w:val="es-MX"/>
        </w:rPr>
        <w:t xml:space="preserve"> </w:t>
      </w:r>
    </w:p>
    <w:p w14:paraId="5C56A60D" w14:textId="77777777" w:rsidR="00554255" w:rsidRPr="00330C1B" w:rsidRDefault="00554255" w:rsidP="001703A6">
      <w:pPr>
        <w:spacing w:after="0"/>
        <w:jc w:val="both"/>
        <w:rPr>
          <w:rFonts w:ascii="Outfit" w:hAnsi="Outfit"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Pago: </w:t>
      </w:r>
      <w:r w:rsidRPr="00330C1B">
        <w:rPr>
          <w:rFonts w:ascii="Outfit" w:hAnsi="Outfit"/>
          <w:lang w:val="es-MX"/>
        </w:rPr>
        <w:t xml:space="preserve">El valor de las vacaciones se paga al menos cinco días antes de iniciar el disfrute. </w:t>
      </w:r>
    </w:p>
    <w:p w14:paraId="032D383D" w14:textId="7AB9ECA6" w:rsidR="00554255" w:rsidRDefault="00554255" w:rsidP="001703A6">
      <w:pPr>
        <w:spacing w:after="0"/>
        <w:jc w:val="both"/>
        <w:rPr>
          <w:rFonts w:ascii="Outfit" w:hAnsi="Outfit"/>
          <w:b/>
          <w:bCs/>
          <w:lang w:val="es-MX"/>
        </w:rPr>
      </w:pPr>
      <w:r w:rsidRPr="00330C1B">
        <w:rPr>
          <w:rFonts w:ascii="Outfit" w:hAnsi="Outfit"/>
          <w:b/>
          <w:bCs/>
          <w:lang w:val="es-MX"/>
        </w:rPr>
        <w:t xml:space="preserve">Excepciones: </w:t>
      </w:r>
      <w:r w:rsidRPr="00330C1B">
        <w:rPr>
          <w:rFonts w:ascii="Outfit" w:hAnsi="Outfit"/>
          <w:lang w:val="es-MX"/>
        </w:rPr>
        <w:t>La compensación en dinero solo se permite en casos excepcionales señalados por la ley</w:t>
      </w:r>
      <w:r w:rsidRPr="00330C1B">
        <w:rPr>
          <w:rFonts w:ascii="Outfit" w:hAnsi="Outfit"/>
          <w:b/>
          <w:bCs/>
          <w:lang w:val="es-MX"/>
        </w:rPr>
        <w:t>.</w:t>
      </w:r>
    </w:p>
    <w:p w14:paraId="49B8A8DF" w14:textId="4C33438F" w:rsidR="001703A6" w:rsidRDefault="001703A6" w:rsidP="001703A6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65B3A8E7" w14:textId="38638B99" w:rsidR="001703A6" w:rsidRDefault="001703A6" w:rsidP="001703A6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5DEF32B7" w14:textId="77777777" w:rsidR="001703A6" w:rsidRDefault="001703A6" w:rsidP="001703A6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59A7E6EA" w14:textId="4BABE391" w:rsidR="00705DAD" w:rsidRDefault="00705DAD" w:rsidP="001703A6">
      <w:pPr>
        <w:spacing w:after="0"/>
        <w:rPr>
          <w:rFonts w:ascii="Outfit" w:hAnsi="Outfit"/>
          <w:lang w:val="es-MX"/>
        </w:rPr>
      </w:pPr>
    </w:p>
    <w:p w14:paraId="1C460107" w14:textId="0EB391B6" w:rsidR="001703A6" w:rsidRPr="00042EFC" w:rsidRDefault="001703A6" w:rsidP="00042EFC">
      <w:pPr>
        <w:pStyle w:val="Prrafodelista"/>
        <w:numPr>
          <w:ilvl w:val="0"/>
          <w:numId w:val="1"/>
        </w:numPr>
        <w:spacing w:after="0"/>
        <w:rPr>
          <w:rFonts w:ascii="Outfit" w:hAnsi="Outfit"/>
          <w:b/>
          <w:bCs/>
          <w:lang w:val="es-MX"/>
        </w:rPr>
      </w:pPr>
      <w:r w:rsidRPr="00042EFC">
        <w:rPr>
          <w:rFonts w:ascii="Outfit" w:hAnsi="Outfit"/>
          <w:b/>
          <w:bCs/>
          <w:lang w:val="es-MX"/>
        </w:rPr>
        <w:lastRenderedPageBreak/>
        <w:t xml:space="preserve">¿Cómo consultar y descargar volantes de pago y Certificados de ingresos y retenciones en SINFA? </w:t>
      </w:r>
    </w:p>
    <w:p w14:paraId="19EDCA6E" w14:textId="527B9662" w:rsidR="001703A6" w:rsidRDefault="001703A6" w:rsidP="001703A6">
      <w:pPr>
        <w:spacing w:after="0"/>
        <w:rPr>
          <w:rFonts w:ascii="Outfit" w:hAnsi="Outfit"/>
          <w:b/>
          <w:bCs/>
          <w:lang w:val="es-MX"/>
        </w:rPr>
      </w:pPr>
    </w:p>
    <w:p w14:paraId="2CE5F663" w14:textId="0EA8653F" w:rsidR="00042EFC" w:rsidRDefault="00042EFC" w:rsidP="00042EFC">
      <w:pPr>
        <w:spacing w:after="0" w:line="240" w:lineRule="auto"/>
        <w:jc w:val="both"/>
        <w:rPr>
          <w:rFonts w:ascii="Outfit" w:eastAsia="Times New Roman" w:hAnsi="Outfit" w:cs="Arial"/>
        </w:rPr>
      </w:pPr>
      <w:r w:rsidRPr="008C3706">
        <w:rPr>
          <w:rFonts w:ascii="Outfit" w:eastAsia="Times New Roman" w:hAnsi="Outfit" w:cs="Arial"/>
        </w:rPr>
        <w:t xml:space="preserve">Los funcionarios de la </w:t>
      </w:r>
      <w:r>
        <w:rPr>
          <w:rFonts w:ascii="Outfit" w:eastAsia="Times New Roman" w:hAnsi="Outfit" w:cs="Arial"/>
        </w:rPr>
        <w:t>e</w:t>
      </w:r>
      <w:r w:rsidRPr="008C3706">
        <w:rPr>
          <w:rFonts w:ascii="Outfit" w:eastAsia="Times New Roman" w:hAnsi="Outfit" w:cs="Arial"/>
        </w:rPr>
        <w:t>ntidad deben ingresar a la siguiente dirección WEB, para realizar su respectivo registro y posteriormente su consulta.</w:t>
      </w:r>
      <w:r>
        <w:rPr>
          <w:rFonts w:ascii="Outfit" w:eastAsia="Times New Roman" w:hAnsi="Outfit" w:cs="Arial"/>
        </w:rPr>
        <w:t xml:space="preserve">  </w:t>
      </w:r>
      <w:hyperlink r:id="rId5" w:history="1">
        <w:r w:rsidRPr="00827D31">
          <w:rPr>
            <w:rStyle w:val="Hipervnculo"/>
            <w:rFonts w:ascii="Outfit" w:eastAsia="Times New Roman" w:hAnsi="Outfit" w:cs="Arial"/>
          </w:rPr>
          <w:t>https://app.sinfacloud.co/volantes/inicio/</w:t>
        </w:r>
      </w:hyperlink>
      <w:r>
        <w:rPr>
          <w:rFonts w:ascii="Outfit" w:eastAsia="Times New Roman" w:hAnsi="Outfit" w:cs="Arial"/>
        </w:rPr>
        <w:t xml:space="preserve"> </w:t>
      </w:r>
      <w:r>
        <w:rPr>
          <w:rFonts w:ascii="Outfit" w:eastAsia="Times New Roman" w:hAnsi="Outfit" w:cs="Arial"/>
        </w:rPr>
        <w:t xml:space="preserve"> </w:t>
      </w:r>
    </w:p>
    <w:p w14:paraId="36082FD5" w14:textId="731FD5BE" w:rsidR="00042EFC" w:rsidRDefault="00042EFC" w:rsidP="00042EFC">
      <w:pPr>
        <w:spacing w:after="0" w:line="240" w:lineRule="auto"/>
        <w:jc w:val="both"/>
        <w:rPr>
          <w:rFonts w:ascii="Outfit" w:eastAsia="Times New Roman" w:hAnsi="Outfit" w:cs="Arial"/>
        </w:rPr>
      </w:pPr>
    </w:p>
    <w:p w14:paraId="2757D249" w14:textId="6DDDE8C2" w:rsidR="00042EFC" w:rsidRDefault="00042EFC" w:rsidP="00042EFC">
      <w:pPr>
        <w:spacing w:after="0" w:line="240" w:lineRule="auto"/>
        <w:jc w:val="both"/>
        <w:rPr>
          <w:rFonts w:ascii="Outfit" w:eastAsia="Times New Roman" w:hAnsi="Outfit" w:cs="Arial"/>
        </w:rPr>
      </w:pPr>
      <w:r>
        <w:rPr>
          <w:rFonts w:ascii="Outfit" w:eastAsia="Times New Roman" w:hAnsi="Outfit" w:cs="Arial"/>
        </w:rPr>
        <w:t xml:space="preserve">Para realizar este proceso debe estar </w:t>
      </w:r>
      <w:r w:rsidRPr="000B3F52">
        <w:rPr>
          <w:rFonts w:ascii="Outfit" w:eastAsia="Times New Roman" w:hAnsi="Outfit" w:cs="Arial"/>
        </w:rPr>
        <w:t>registrado</w:t>
      </w:r>
      <w:r>
        <w:rPr>
          <w:rFonts w:ascii="Outfit" w:eastAsia="Times New Roman" w:hAnsi="Outfit" w:cs="Arial"/>
        </w:rPr>
        <w:t xml:space="preserve">, para conocer el paso a paso se adjunta Circular interna 065 de 2025. </w:t>
      </w:r>
      <w:r w:rsidRPr="00042EFC">
        <w:rPr>
          <w:rFonts w:ascii="Outfit" w:eastAsia="Times New Roman" w:hAnsi="Outfit" w:cs="Arial"/>
        </w:rPr>
        <w:t>EXPEDICIÓN DE CERTIFICADOS DE INGRESOS Y RETENCIONES 2024 - INSTRUCTIVO CONSULTA VOLANTES DE NOMINA POR INTERNET -APLICATIVO SINFA</w:t>
      </w:r>
      <w:r>
        <w:rPr>
          <w:rFonts w:ascii="Outfit" w:eastAsia="Times New Roman" w:hAnsi="Outfit" w:cs="Arial"/>
        </w:rPr>
        <w:t xml:space="preserve">. </w:t>
      </w:r>
    </w:p>
    <w:p w14:paraId="75375030" w14:textId="660C2910" w:rsidR="00042EFC" w:rsidRDefault="00042EFC" w:rsidP="00042EFC">
      <w:pPr>
        <w:spacing w:after="0" w:line="240" w:lineRule="auto"/>
        <w:jc w:val="both"/>
        <w:rPr>
          <w:rFonts w:ascii="Outfit" w:eastAsia="Times New Roman" w:hAnsi="Outfit" w:cs="Arial"/>
        </w:rPr>
      </w:pPr>
    </w:p>
    <w:p w14:paraId="7B902CBE" w14:textId="3553274C" w:rsidR="00042EFC" w:rsidRPr="00042EFC" w:rsidRDefault="00042EFC" w:rsidP="00042EF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Outfit" w:eastAsia="Times New Roman" w:hAnsi="Outfit" w:cs="Arial"/>
          <w:b/>
          <w:bCs/>
        </w:rPr>
      </w:pPr>
      <w:r w:rsidRPr="00042EFC">
        <w:rPr>
          <w:rFonts w:ascii="Outfit" w:eastAsia="Times New Roman" w:hAnsi="Outfit" w:cs="Arial"/>
          <w:b/>
          <w:bCs/>
        </w:rPr>
        <w:t>¿Cómo reportar novedades de nómina?</w:t>
      </w:r>
    </w:p>
    <w:p w14:paraId="6A44FED2" w14:textId="42EA4447" w:rsidR="001703A6" w:rsidRDefault="001703A6" w:rsidP="001703A6">
      <w:pPr>
        <w:spacing w:after="0"/>
        <w:rPr>
          <w:rFonts w:ascii="Outfit" w:hAnsi="Outfit"/>
          <w:b/>
          <w:bCs/>
          <w:lang w:val="es-MX"/>
        </w:rPr>
      </w:pPr>
    </w:p>
    <w:p w14:paraId="56D13295" w14:textId="3291AD74" w:rsidR="00042EFC" w:rsidRPr="00042EFC" w:rsidRDefault="00042EFC" w:rsidP="00042EFC">
      <w:pPr>
        <w:spacing w:after="0"/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>L</w:t>
      </w:r>
      <w:r w:rsidRPr="00042EFC">
        <w:rPr>
          <w:rFonts w:ascii="Outfit" w:hAnsi="Outfit"/>
          <w:lang w:val="es-MX"/>
        </w:rPr>
        <w:t xml:space="preserve">os plazos para reportar novedades a la nómina (vacaciones, </w:t>
      </w:r>
      <w:r>
        <w:rPr>
          <w:rFonts w:ascii="Outfit" w:hAnsi="Outfit"/>
          <w:lang w:val="es-MX"/>
        </w:rPr>
        <w:t xml:space="preserve">traslados fondos de pensiones o EPS, </w:t>
      </w:r>
      <w:r w:rsidRPr="00042EFC">
        <w:rPr>
          <w:rFonts w:ascii="Outfit" w:hAnsi="Outfit"/>
          <w:lang w:val="es-MX"/>
        </w:rPr>
        <w:t xml:space="preserve">libranzas, descuentos, entre otros) </w:t>
      </w:r>
      <w:r>
        <w:rPr>
          <w:rFonts w:ascii="Outfit" w:hAnsi="Outfit"/>
          <w:lang w:val="es-MX"/>
        </w:rPr>
        <w:t>se deben reportar a</w:t>
      </w:r>
      <w:r w:rsidRPr="00042EFC">
        <w:rPr>
          <w:rFonts w:ascii="Outfit" w:hAnsi="Outfit"/>
          <w:lang w:val="es-MX"/>
        </w:rPr>
        <w:t xml:space="preserve"> la oficina de Dirección de Gestión Humana</w:t>
      </w:r>
      <w:r>
        <w:rPr>
          <w:rFonts w:ascii="Outfit" w:hAnsi="Outfit"/>
          <w:lang w:val="es-MX"/>
        </w:rPr>
        <w:t xml:space="preserve"> o a los correos </w:t>
      </w:r>
      <w:hyperlink r:id="rId6" w:history="1">
        <w:r w:rsidRPr="006E1138">
          <w:rPr>
            <w:rStyle w:val="Hipervnculo"/>
            <w:rFonts w:ascii="Outfit" w:hAnsi="Outfit"/>
            <w:lang w:val="es-MX"/>
          </w:rPr>
          <w:t>nomina@funza-cundinamarca.gov.co</w:t>
        </w:r>
      </w:hyperlink>
      <w:r>
        <w:rPr>
          <w:rFonts w:ascii="Outfit" w:hAnsi="Outfit"/>
          <w:lang w:val="es-MX"/>
        </w:rPr>
        <w:t xml:space="preserve"> y/o </w:t>
      </w:r>
      <w:hyperlink r:id="rId7" w:history="1">
        <w:r w:rsidRPr="006E1138">
          <w:rPr>
            <w:rStyle w:val="Hipervnculo"/>
            <w:rFonts w:ascii="Outfit" w:hAnsi="Outfit"/>
            <w:lang w:val="es-MX"/>
          </w:rPr>
          <w:t>talentohumano@funza-cundinamarca.gov.co</w:t>
        </w:r>
      </w:hyperlink>
      <w:r>
        <w:rPr>
          <w:rFonts w:ascii="Outfit" w:hAnsi="Outfit"/>
          <w:lang w:val="es-MX"/>
        </w:rPr>
        <w:t xml:space="preserve"> </w:t>
      </w:r>
      <w:r w:rsidRPr="00042EFC">
        <w:rPr>
          <w:rFonts w:ascii="Outfit" w:hAnsi="Outfit"/>
          <w:lang w:val="es-MX"/>
        </w:rPr>
        <w:t>hasta el día 14 en el calendario del mes en curso de nómina; en caso que esta fecha sea un día sábado, domingo o festivo, se recibirá la novedad el día hábil siguiente.</w:t>
      </w:r>
    </w:p>
    <w:p w14:paraId="328E5E6A" w14:textId="77777777" w:rsidR="00042EFC" w:rsidRPr="00042EFC" w:rsidRDefault="00042EFC" w:rsidP="00042EFC">
      <w:pPr>
        <w:spacing w:after="0"/>
        <w:jc w:val="both"/>
        <w:rPr>
          <w:rFonts w:ascii="Outfit" w:hAnsi="Outfit"/>
          <w:lang w:val="es-MX"/>
        </w:rPr>
      </w:pPr>
    </w:p>
    <w:p w14:paraId="1AC8CBA5" w14:textId="6521B625" w:rsidR="00042EFC" w:rsidRDefault="00042EFC" w:rsidP="00042EFC">
      <w:pPr>
        <w:spacing w:after="0"/>
        <w:jc w:val="both"/>
        <w:rPr>
          <w:rFonts w:ascii="Outfit" w:hAnsi="Outfit"/>
          <w:lang w:val="es-MX"/>
        </w:rPr>
      </w:pPr>
      <w:r w:rsidRPr="00042EFC">
        <w:rPr>
          <w:rFonts w:ascii="Outfit" w:hAnsi="Outfit"/>
          <w:lang w:val="es-MX"/>
        </w:rPr>
        <w:t>Para el caso de las horas extras se deben reportar a Dirección de Gestión Humana, máximo el día 12 de cada mes, en caso que esta fecha sea un día sábado, domingo o festivo, se recibirá la novedad el día hábil siguiente, las fechas de reporte serán desde el día 10 del mes anterior al día 09 del mes en curso en nómina.</w:t>
      </w:r>
    </w:p>
    <w:p w14:paraId="59559543" w14:textId="434C13CA" w:rsidR="005A7C8C" w:rsidRDefault="005A7C8C" w:rsidP="00042EFC">
      <w:pPr>
        <w:spacing w:after="0"/>
        <w:jc w:val="both"/>
        <w:rPr>
          <w:rFonts w:ascii="Outfit" w:hAnsi="Outfit"/>
          <w:lang w:val="es-MX"/>
        </w:rPr>
      </w:pPr>
    </w:p>
    <w:p w14:paraId="304A26D8" w14:textId="6B06B1A2" w:rsidR="00042EFC" w:rsidRDefault="005A7C8C" w:rsidP="005A7C8C">
      <w:pPr>
        <w:spacing w:after="0"/>
        <w:jc w:val="both"/>
        <w:rPr>
          <w:rFonts w:ascii="Outfit" w:hAnsi="Outfit"/>
          <w:lang w:val="es-MX"/>
        </w:rPr>
      </w:pPr>
      <w:r>
        <w:rPr>
          <w:rFonts w:ascii="Outfit" w:hAnsi="Outfit"/>
          <w:lang w:val="es-MX"/>
        </w:rPr>
        <w:t xml:space="preserve">Para el caso de las incapacidades se sugiere reportar de manera inmediata con el fin de no incurrir en ausencias injustificadas. </w:t>
      </w:r>
      <w:r w:rsidR="00C726AE">
        <w:rPr>
          <w:rFonts w:ascii="Outfit" w:hAnsi="Outfit"/>
          <w:lang w:val="es-MX"/>
        </w:rPr>
        <w:t xml:space="preserve">Todas las incapacidades deben tener diagnóstico. </w:t>
      </w:r>
      <w:r>
        <w:rPr>
          <w:rFonts w:ascii="Outfit" w:hAnsi="Outfit"/>
          <w:lang w:val="es-MX"/>
        </w:rPr>
        <w:t xml:space="preserve">Las incapacidades por accidente laboral deben estar reconocidas de tal manera. </w:t>
      </w:r>
    </w:p>
    <w:p w14:paraId="1E2AA2D2" w14:textId="64B51C51" w:rsidR="005A7C8C" w:rsidRDefault="005A7C8C" w:rsidP="005A7C8C">
      <w:pPr>
        <w:spacing w:after="0"/>
        <w:jc w:val="both"/>
        <w:rPr>
          <w:rFonts w:ascii="Outfit" w:hAnsi="Outfit"/>
          <w:lang w:val="es-MX"/>
        </w:rPr>
      </w:pPr>
    </w:p>
    <w:p w14:paraId="130C3AF3" w14:textId="09840490" w:rsidR="005A7C8C" w:rsidRDefault="005A7C8C" w:rsidP="005A7C8C">
      <w:pPr>
        <w:pStyle w:val="Prrafodelista"/>
        <w:numPr>
          <w:ilvl w:val="0"/>
          <w:numId w:val="1"/>
        </w:numPr>
        <w:spacing w:after="0"/>
        <w:jc w:val="both"/>
        <w:rPr>
          <w:rFonts w:ascii="Outfit" w:hAnsi="Outfit"/>
          <w:b/>
          <w:bCs/>
          <w:lang w:val="es-MX"/>
        </w:rPr>
      </w:pPr>
      <w:r>
        <w:rPr>
          <w:rFonts w:ascii="Outfit" w:hAnsi="Outfit"/>
          <w:b/>
          <w:bCs/>
          <w:lang w:val="es-MX"/>
        </w:rPr>
        <w:t>¿Cuán</w:t>
      </w:r>
      <w:r w:rsidR="00C726AE">
        <w:rPr>
          <w:rFonts w:ascii="Outfit" w:hAnsi="Outfit"/>
          <w:b/>
          <w:bCs/>
          <w:lang w:val="es-MX"/>
        </w:rPr>
        <w:t>t</w:t>
      </w:r>
      <w:r>
        <w:rPr>
          <w:rFonts w:ascii="Outfit" w:hAnsi="Outfit"/>
          <w:b/>
          <w:bCs/>
          <w:lang w:val="es-MX"/>
        </w:rPr>
        <w:t xml:space="preserve">o </w:t>
      </w:r>
      <w:r>
        <w:rPr>
          <w:rFonts w:ascii="Outfit" w:hAnsi="Outfit"/>
          <w:b/>
          <w:bCs/>
          <w:lang w:val="es-MX"/>
        </w:rPr>
        <w:t>salario perci</w:t>
      </w:r>
      <w:r>
        <w:rPr>
          <w:rFonts w:ascii="Outfit" w:hAnsi="Outfit"/>
          <w:b/>
          <w:bCs/>
          <w:lang w:val="es-MX"/>
        </w:rPr>
        <w:t xml:space="preserve">be un funcionario en incapacidad? </w:t>
      </w:r>
    </w:p>
    <w:p w14:paraId="28AFB053" w14:textId="77777777" w:rsidR="00C726AE" w:rsidRDefault="00C726AE" w:rsidP="00C726AE">
      <w:pPr>
        <w:pStyle w:val="Prrafodelista"/>
        <w:spacing w:after="0"/>
        <w:jc w:val="both"/>
        <w:rPr>
          <w:rFonts w:ascii="Outfit" w:hAnsi="Outfit"/>
          <w:b/>
          <w:bCs/>
          <w:lang w:val="es-MX"/>
        </w:rPr>
      </w:pPr>
    </w:p>
    <w:p w14:paraId="31B796D8" w14:textId="227268E2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>En Colombia, durante una incapacidad laboral, un trabajador no recibe su salario completo, sino un auxilio por incapacidad. El porcentaje y la entidad que paga este auxilio varían según la duración y el origen de la incapacidad (laboral o común).</w:t>
      </w:r>
    </w:p>
    <w:p w14:paraId="1A2E62A5" w14:textId="008B24CB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534EDB28" w14:textId="6A74F6FB" w:rsid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  <w:r w:rsidRPr="00C726AE">
        <w:rPr>
          <w:rFonts w:ascii="Outfit" w:hAnsi="Outfit"/>
          <w:b/>
          <w:bCs/>
          <w:lang w:val="es-MX"/>
        </w:rPr>
        <w:t>I</w:t>
      </w:r>
      <w:r w:rsidRPr="00C726AE">
        <w:rPr>
          <w:rFonts w:ascii="Outfit" w:hAnsi="Outfit"/>
          <w:b/>
          <w:bCs/>
          <w:lang w:val="es-MX"/>
        </w:rPr>
        <w:t>ncapacidad por enfermedad general (no laboral):</w:t>
      </w:r>
    </w:p>
    <w:p w14:paraId="2433EF79" w14:textId="77777777" w:rsidR="00C726AE" w:rsidRP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133A6008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Los primeros 2 días: Los paga el empleador. </w:t>
      </w:r>
    </w:p>
    <w:p w14:paraId="4182C5DC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Días 3 al 90: La EPS paga el 66.66% del salario base. </w:t>
      </w:r>
    </w:p>
    <w:p w14:paraId="50ED502E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Días 91 al 180: La EPS paga el 50% del salario base. </w:t>
      </w:r>
    </w:p>
    <w:p w14:paraId="3B29C496" w14:textId="1E25A669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A partir del día 181: El fondo de pensiones podría asumir el pago, o se evalúa una posible pensión por invalidez. </w:t>
      </w:r>
      <w:r>
        <w:rPr>
          <w:rFonts w:ascii="Outfit" w:hAnsi="Outfit"/>
          <w:lang w:val="es-MX"/>
        </w:rPr>
        <w:t xml:space="preserve">  </w:t>
      </w:r>
    </w:p>
    <w:p w14:paraId="256DBA8D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4C677A18" w14:textId="7D9A73BC" w:rsid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  <w:r w:rsidRPr="00C726AE">
        <w:rPr>
          <w:rFonts w:ascii="Outfit" w:hAnsi="Outfit"/>
          <w:b/>
          <w:bCs/>
          <w:lang w:val="es-MX"/>
        </w:rPr>
        <w:lastRenderedPageBreak/>
        <w:t>Incapacidad por enfermedad laboral o accidente de trabajo:</w:t>
      </w:r>
    </w:p>
    <w:p w14:paraId="2956DC33" w14:textId="77777777" w:rsidR="00C726AE" w:rsidRP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</w:p>
    <w:p w14:paraId="38C3CF20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>Desde el primer día: La ARL (Aseguradora de Riesgos Laborales) paga el 100% del salario base.</w:t>
      </w:r>
    </w:p>
    <w:p w14:paraId="750F32D8" w14:textId="044A4F65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>Hasta por 180 días: Se puede prorrogar por un periodo igual si es necesario para tratamiento o rehabilitación.</w:t>
      </w:r>
    </w:p>
    <w:p w14:paraId="31D49861" w14:textId="43E68E0A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5D476E90" w14:textId="77777777" w:rsidR="00C726AE" w:rsidRP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  <w:r w:rsidRPr="00C726AE">
        <w:rPr>
          <w:rFonts w:ascii="Outfit" w:hAnsi="Outfit"/>
          <w:b/>
          <w:bCs/>
          <w:lang w:val="es-MX"/>
        </w:rPr>
        <w:t>Cálculo del auxilio:</w:t>
      </w:r>
    </w:p>
    <w:p w14:paraId="18697FA7" w14:textId="20963BC7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El cálculo se realiza sobre el salario base de cotización (salario mensual / 30) y se aplica el porcentaje correspondiente al periodo de incapacidad. Por ejemplo, si el salario mensual es de $1.500.000, el valor del día sería de $50.000. Si la incapacidad es por enfermedad general y es por más de 2 días, la EPS pagaría el 66.66% de esos $50.000. </w:t>
      </w:r>
    </w:p>
    <w:p w14:paraId="3E7FF8BE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2252EE61" w14:textId="77777777" w:rsidR="00C726AE" w:rsidRPr="00C726AE" w:rsidRDefault="00C726AE" w:rsidP="00C726AE">
      <w:pPr>
        <w:spacing w:after="0"/>
        <w:jc w:val="both"/>
        <w:rPr>
          <w:rFonts w:ascii="Outfit" w:hAnsi="Outfit"/>
          <w:b/>
          <w:bCs/>
          <w:lang w:val="es-MX"/>
        </w:rPr>
      </w:pPr>
      <w:r w:rsidRPr="00C726AE">
        <w:rPr>
          <w:rFonts w:ascii="Outfit" w:hAnsi="Outfit"/>
          <w:b/>
          <w:bCs/>
          <w:lang w:val="es-MX"/>
        </w:rPr>
        <w:t>Importante:</w:t>
      </w:r>
    </w:p>
    <w:p w14:paraId="53F553B9" w14:textId="7937C55A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El trabajador no recibe salario como tal, sino un auxilio por incapacidad. </w:t>
      </w:r>
      <w:r>
        <w:rPr>
          <w:rFonts w:ascii="Outfit" w:hAnsi="Outfit"/>
          <w:lang w:val="es-MX"/>
        </w:rPr>
        <w:t xml:space="preserve">Por lo que si el funcionario tiene libranzas estas tendrán que ser pagadas por ventanilla, ya que al no percibir salario no se puede realizar descuentos. </w:t>
      </w:r>
    </w:p>
    <w:p w14:paraId="6B9AFC36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4106A2C7" w14:textId="33CAA0D3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 xml:space="preserve">El auxilio por incapacidad busca compensar la pérdida de ingresos por no poder trabajar debido a la enfermedad o accidente. </w:t>
      </w:r>
    </w:p>
    <w:p w14:paraId="7F888635" w14:textId="77777777" w:rsidR="00C726AE" w:rsidRPr="00C726AE" w:rsidRDefault="00C726AE" w:rsidP="00C726AE">
      <w:pPr>
        <w:spacing w:after="0"/>
        <w:jc w:val="both"/>
        <w:rPr>
          <w:rFonts w:ascii="Outfit" w:hAnsi="Outfit"/>
          <w:lang w:val="es-MX"/>
        </w:rPr>
      </w:pPr>
    </w:p>
    <w:p w14:paraId="7EE3F670" w14:textId="369F83F6" w:rsidR="00C726AE" w:rsidRDefault="00C726AE" w:rsidP="00C726AE">
      <w:pPr>
        <w:spacing w:after="0"/>
        <w:jc w:val="both"/>
        <w:rPr>
          <w:rFonts w:ascii="Outfit" w:hAnsi="Outfit"/>
          <w:lang w:val="es-MX"/>
        </w:rPr>
      </w:pPr>
      <w:r w:rsidRPr="00C726AE">
        <w:rPr>
          <w:rFonts w:ascii="Outfit" w:hAnsi="Outfit"/>
          <w:lang w:val="es-MX"/>
        </w:rPr>
        <w:t>En caso de incapacidades prolongadas, se evalúa la posibilidad de acceder a una pensión por invalidez.</w:t>
      </w:r>
    </w:p>
    <w:sectPr w:rsidR="00C72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3FF"/>
    <w:multiLevelType w:val="hybridMultilevel"/>
    <w:tmpl w:val="D8EE9A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EF"/>
    <w:rsid w:val="00042EFC"/>
    <w:rsid w:val="001703A6"/>
    <w:rsid w:val="001C5E32"/>
    <w:rsid w:val="00330C1B"/>
    <w:rsid w:val="00554255"/>
    <w:rsid w:val="005969C1"/>
    <w:rsid w:val="005A7C8C"/>
    <w:rsid w:val="00705DAD"/>
    <w:rsid w:val="009D7E81"/>
    <w:rsid w:val="00AC78EA"/>
    <w:rsid w:val="00C726AE"/>
    <w:rsid w:val="00F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C1CA"/>
  <w15:chartTrackingRefBased/>
  <w15:docId w15:val="{0C62C704-6D4A-4BDE-81A2-8E0CEFB6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4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uiPriority w:val="99"/>
    <w:unhideWhenUsed/>
    <w:rsid w:val="00042E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2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211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417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19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13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9920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87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lentohumano@funza-cundinamarca.gov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mina@funza-cundinamarca.gov.co" TargetMode="External"/><Relationship Id="rId5" Type="http://schemas.openxmlformats.org/officeDocument/2006/relationships/hyperlink" Target="https://app.sinfacloud.co/volantes/inici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ACSierraC</dc:creator>
  <cp:keywords/>
  <dc:description/>
  <cp:lastModifiedBy>ACSierraC</cp:lastModifiedBy>
  <cp:revision>7</cp:revision>
  <dcterms:created xsi:type="dcterms:W3CDTF">2025-06-13T22:06:00Z</dcterms:created>
  <dcterms:modified xsi:type="dcterms:W3CDTF">2025-06-16T16:33:00Z</dcterms:modified>
</cp:coreProperties>
</file>